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EXCAVATOR USE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Pre-start checks</w:t>
            </w:r>
          </w:p>
        </w:tc>
        <w:tc>
          <w:tcPr>
            <w:tcW w:w="2880" w:type="dxa"/>
            <w:shd w:val="clear" w:color="auto" w:fill="DEEAF6"/>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Roll-over protection</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Fuel and Fluids</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Tires (rubber tire units)</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Tracks (tracked units)</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Buckets</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Hydraulics</w:t>
            </w:r>
          </w:p>
        </w:tc>
        <w:tc>
          <w:tcPr>
            <w:tcW w:w="990" w:type="dxa"/>
            <w:shd w:val="clear" w:color="auto" w:fill="DEEAF6"/>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t>3H</w:t>
            </w:r>
          </w:p>
        </w:tc>
        <w:tc>
          <w:tcPr>
            <w:tcW w:w="5850" w:type="dxa"/>
            <w:shd w:val="clear" w:color="auto" w:fill="DEEAF6"/>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Unless the appropriate statutory authority approves, all tractors must be fitted with approved rollover protective structures (ROPS).</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Keep a check on the battery, coolant, transmission oil, engine oil, hydraulic oil and fuel.</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Remove any mud lumps attached to treads and check the tire condition and pressures.</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Inspect the condition and tension of tracks. Follow the manual provided by the operator to determine the correct sag range.</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Check for worn cutting edges, worn teeth and missing teeth.</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Inspect for excessive wear on connections, bushes and pins.</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Inspect leaks, fractures or splits on connections, hoses and rams.</w:t>
            </w:r>
          </w:p>
          <w:p w:rsidRPr="008E5B0B" w:rsidR="00154B74" w:rsidP="00154B74" w:rsidRDefault="00154B74">
            <w:pPr>
              <w:snapToGrid w:val="false"/>
              <w:spacing w:after="120" w:lineRule="auto"/>
              <w:rPr>
                <w:rFonts w:ascii="Arial" w:hAnsi="Arial" w:cs="Arial"/>
                <w:lang w:val="en-AU"/>
              </w:rPr>
            </w:pPr>
            <w:r w:rsidRPr="008E5B0B">
              <w:rPr>
                <w:rFonts w:ascii="Arial" w:hAnsi="Arial" w:cs="Arial"/>
                <w:lang w:val="en-AU"/>
              </w:rPr>
              <w:t>Wearing eye and hand protection is recommended.</w:t>
            </w:r>
          </w:p>
          <w:p w:rsidRPr="008E5B0B" w:rsidR="00154B74" w:rsidP="00154B74"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Wearing gloves is recommended.</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p>
        </w:tc>
        <w:tc>
          <w:tcPr>
            <w:tcW w:w="810" w:type="dxa"/>
            <w:shd w:val="clear" w:color="auto" w:fill="DEEAF6"/>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lastRenderedPageBreak/>
              <w:t>2M</w:t>
            </w:r>
          </w:p>
        </w:tc>
        <w:tc>
          <w:tcPr>
            <w:tcW w:w="1703" w:type="dxa"/>
            <w:shd w:val="clear" w:color="auto" w:fill="DEEAF6"/>
          </w:tcPr>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8. Entry and exit</w:t>
            </w:r>
          </w:p>
        </w:tc>
        <w:tc>
          <w:tcPr>
            <w:tcW w:w="2880" w:type="dxa"/>
            <w:shd w:val="clear" w:color="auto" w:fill="auto" w:themeFillTint="33"/>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Slipping and falls</w:t>
            </w:r>
          </w:p>
        </w:tc>
        <w:tc>
          <w:tcPr>
            <w:tcW w:w="990" w:type="dxa"/>
            <w:shd w:val="clear" w:color="auto" w:fill="auto" w:themeFillTint="33"/>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t>3H</w:t>
            </w:r>
          </w:p>
        </w:tc>
        <w:tc>
          <w:tcPr>
            <w:tcW w:w="5850" w:type="dxa"/>
            <w:shd w:val="clear" w:color="auto" w:fill="auto" w:themeFillTint="33"/>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Use non-slip type steps and ladders.</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When mounting or dismounting a tractor, the operator must be provided with handholds, which will allow him to maintain 3 points of contact at all times.</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When being transported or used, provide safe means of access for machines.</w:t>
            </w:r>
          </w:p>
        </w:tc>
        <w:tc>
          <w:tcPr>
            <w:tcW w:w="810" w:type="dxa"/>
            <w:shd w:val="clear" w:color="auto" w:fill="auto" w:themeFillTint="33"/>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t>2H</w:t>
            </w:r>
          </w:p>
        </w:tc>
        <w:tc>
          <w:tcPr>
            <w:tcW w:w="1703" w:type="dxa"/>
            <w:shd w:val="clear" w:color="auto" w:fill="auto" w:themeFillTint="33"/>
          </w:tcPr>
          <w:p w:rsidRPr="008E5B0B" w:rsidR="00154B74" w:rsidP="00DD62C5" w:rsidRDefault="00154B74">
            <w:pPr>
              <w:snapToGrid w:val="false"/>
              <w:spacing w:after="120" w:lineRule="auto"/>
              <w:rPr>
                <w:rFonts w:ascii="Arial" w:hAnsi="Arial" w:cs="Arial"/>
                <w:lang w:val="en-AU"/>
              </w:rPr>
            </w:pPr>
          </w:p>
        </w:tc>
      </w:tr>
      <w:tr>
        <w:tc>
          <w:tcPr>
            <w:tcW w:w="2635" w:type="dxa"/>
            <w:shd w:val="clear" w:color="auto" w:fill="DEEAF6"/>
          </w:tcPr>
          <w:p>
            <w:pPr>
              <w:spacing w:after="120" w:lineRule="auto"/>
            </w:pPr>
            <w:r>
              <w:t>9. Operator position</w:t>
            </w:r>
          </w:p>
        </w:tc>
        <w:tc>
          <w:tcPr>
            <w:tcW w:w="2880" w:type="dxa"/>
            <w:shd w:val="clear" w:color="auto" w:fill="DEEAF6"/>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Seating</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Controls</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Cabin (if fitted)</w:t>
            </w:r>
          </w:p>
        </w:tc>
        <w:tc>
          <w:tcPr>
            <w:tcW w:w="990" w:type="dxa"/>
            <w:shd w:val="clear" w:color="auto" w:fill="DEEAF6"/>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t>3H</w:t>
            </w:r>
          </w:p>
        </w:tc>
        <w:tc>
          <w:tcPr>
            <w:tcW w:w="5850" w:type="dxa"/>
            <w:shd w:val="clear" w:color="auto" w:fill="DEEAF6"/>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To allow an operator maintain a comfortable operating position, the seat must be adjustable and wee-sprung.</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All gages and levels must be within easy reach, be readable and clearly identified. In correct operating conditions, all needles should preferably be oriented in vertical position.</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The opening of the exhaust must be directed away from the cabin to disallow fumes to enter the cabin.</w:t>
            </w:r>
          </w:p>
          <w:p w:rsidRPr="008E5B0B" w:rsidR="00154B74" w:rsidP="00154B74" w:rsidRDefault="00154B74">
            <w:pPr>
              <w:snapToGrid w:val="false"/>
              <w:spacing w:after="120" w:lineRule="auto"/>
              <w:rPr>
                <w:rFonts w:ascii="Arial" w:hAnsi="Arial" w:cs="Arial"/>
                <w:lang w:val="en-AU"/>
              </w:rPr>
            </w:pPr>
            <w:r w:rsidRPr="008E5B0B">
              <w:rPr>
                <w:rFonts w:ascii="Arial" w:hAnsi="Arial" w:cs="Arial"/>
                <w:lang w:val="en-AU"/>
              </w:rPr>
              <w:t>Setting up an operator's seat must follow proper ergonomic principles.</w:t>
            </w:r>
          </w:p>
          <w:p w:rsidRPr="008E5B0B" w:rsidR="00154B74" w:rsidP="00154B74"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Provide adequate ventilation.</w:t>
            </w:r>
          </w:p>
        </w:tc>
        <w:tc>
          <w:tcPr>
            <w:tcW w:w="810" w:type="dxa"/>
            <w:shd w:val="clear" w:color="auto" w:fill="DEEAF6"/>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t>2M</w:t>
            </w:r>
          </w:p>
        </w:tc>
        <w:tc>
          <w:tcPr>
            <w:tcW w:w="1703" w:type="dxa"/>
            <w:shd w:val="clear" w:color="auto" w:fill="DEEAF6"/>
          </w:tcPr>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10. Controls</w:t>
            </w:r>
          </w:p>
        </w:tc>
        <w:tc>
          <w:tcPr>
            <w:tcW w:w="2880" w:type="dxa"/>
            <w:shd w:val="clear" w:color="auto" w:fill="auto" w:themeFillTint="33"/>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Lights and alarms</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lastRenderedPageBreak/>
              <w:t>Steering and brakes</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Hydraulic controls</w:t>
            </w:r>
          </w:p>
        </w:tc>
        <w:tc>
          <w:tcPr>
            <w:tcW w:w="990" w:type="dxa"/>
            <w:shd w:val="clear" w:color="auto" w:fill="auto" w:themeFillTint="33"/>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lastRenderedPageBreak/>
              <w:t>2M</w:t>
            </w:r>
          </w:p>
        </w:tc>
        <w:tc>
          <w:tcPr>
            <w:tcW w:w="5850" w:type="dxa"/>
            <w:shd w:val="clear" w:color="auto" w:fill="auto" w:themeFillTint="33"/>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All lights, horn, indicators and reversing alarm must be tested.</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lastRenderedPageBreak/>
              <w:t>Steering must be tested both ways. Check the park brake and braking operations.</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When travelling, lock together the separated brake pedals.</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Before loading bucket, test all hydraulic operations.</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p>
        </w:tc>
        <w:tc>
          <w:tcPr>
            <w:tcW w:w="810" w:type="dxa"/>
            <w:shd w:val="clear" w:color="auto" w:fill="auto" w:themeFillTint="33"/>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lastRenderedPageBreak/>
              <w:t>1L</w:t>
            </w:r>
          </w:p>
        </w:tc>
        <w:tc>
          <w:tcPr>
            <w:tcW w:w="1703" w:type="dxa"/>
            <w:shd w:val="clear" w:color="auto" w:fill="auto" w:themeFillTint="33"/>
          </w:tcPr>
          <w:p w:rsidRPr="008E5B0B" w:rsidR="00154B74" w:rsidP="00DD62C5" w:rsidRDefault="00154B74">
            <w:pPr>
              <w:snapToGrid w:val="false"/>
              <w:spacing w:after="120" w:lineRule="auto"/>
              <w:rPr>
                <w:rFonts w:ascii="Arial" w:hAnsi="Arial" w:cs="Arial"/>
                <w:lang w:val="en-AU"/>
              </w:rPr>
            </w:pPr>
          </w:p>
        </w:tc>
      </w:tr>
      <w:tr>
        <w:tc>
          <w:tcPr>
            <w:tcW w:w="2635" w:type="dxa"/>
            <w:shd w:val="clear" w:color="auto" w:fill="DEEAF6"/>
          </w:tcPr>
          <w:p>
            <w:pPr>
              <w:spacing w:after="120" w:lineRule="auto"/>
            </w:pPr>
            <w:r>
              <w:t>11. Travel</w:t>
            </w:r>
          </w:p>
        </w:tc>
        <w:tc>
          <w:tcPr>
            <w:tcW w:w="2880" w:type="dxa"/>
            <w:shd w:val="clear" w:color="auto" w:fill="DEEAF6"/>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Loss of control</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Overturning</w:t>
            </w:r>
          </w:p>
        </w:tc>
        <w:tc>
          <w:tcPr>
            <w:tcW w:w="990" w:type="dxa"/>
            <w:shd w:val="clear" w:color="auto" w:fill="DEEAF6"/>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t>2M</w:t>
            </w:r>
          </w:p>
        </w:tc>
        <w:tc>
          <w:tcPr>
            <w:tcW w:w="5850" w:type="dxa"/>
            <w:shd w:val="clear" w:color="auto" w:fill="DEEAF6"/>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Never travel at speeds, which may cause loss of control over bumps, etc.</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The bucket must be racked back for visibility and carried as close to the machine as possible.</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Preferably, never drive over obstacles such as drains, ditches, etc., which may affect control.</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When on a steep incline, avoid traveling across slope. Avoid sharp turns.</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For turning, slow down.</w:t>
            </w:r>
          </w:p>
        </w:tc>
        <w:tc>
          <w:tcPr>
            <w:tcW w:w="810" w:type="dxa"/>
            <w:shd w:val="clear" w:color="auto" w:fill="DEEAF6"/>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t>1L</w:t>
            </w:r>
          </w:p>
        </w:tc>
        <w:tc>
          <w:tcPr>
            <w:tcW w:w="1703" w:type="dxa"/>
            <w:shd w:val="clear" w:color="auto" w:fill="DEEAF6"/>
          </w:tcPr>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12. Maintenance</w:t>
            </w:r>
          </w:p>
        </w:tc>
        <w:tc>
          <w:tcPr>
            <w:tcW w:w="2880" w:type="dxa"/>
            <w:shd w:val="clear" w:color="auto" w:fill="auto" w:themeFillTint="33"/>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Burns</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Over-exertion / strain injury</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lastRenderedPageBreak/>
              <w:t>Crush injury from falling objects.</w:t>
            </w:r>
          </w:p>
        </w:tc>
        <w:tc>
          <w:tcPr>
            <w:tcW w:w="990" w:type="dxa"/>
            <w:shd w:val="clear" w:color="auto" w:fill="auto" w:themeFillTint="33"/>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lastRenderedPageBreak/>
              <w:t>2M</w:t>
            </w:r>
          </w:p>
        </w:tc>
        <w:tc>
          <w:tcPr>
            <w:tcW w:w="5850" w:type="dxa"/>
            <w:shd w:val="clear" w:color="auto" w:fill="auto" w:themeFillTint="33"/>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Before removing radiator cap, allow engine to cool down.</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 xml:space="preserve">Water-filled tires may be used at the rear as ballast. To check the pressure or to inflate tires, have the valve stem </w:t>
            </w:r>
            <w:r w:rsidRPr="008E5B0B">
              <w:rPr>
                <w:rFonts w:ascii="Arial" w:hAnsi="Arial" w:cs="Arial"/>
                <w:lang w:val="en-AU"/>
              </w:rPr>
              <w:lastRenderedPageBreak/>
              <w:t>at the top. For draining water from the tire, place the valve at the bottom position.</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For replacing or removing counterweights, use mechanical aids.</w:t>
            </w:r>
          </w:p>
          <w:p w:rsidRPr="008E5B0B" w:rsidR="00154B74" w:rsidP="00154B74" w:rsidRDefault="00154B74">
            <w:pPr>
              <w:snapToGrid w:val="false"/>
              <w:spacing w:after="120" w:lineRule="auto"/>
              <w:rPr>
                <w:rFonts w:ascii="Arial" w:hAnsi="Arial" w:cs="Arial"/>
                <w:lang w:val="en-AU"/>
              </w:rPr>
            </w:pPr>
            <w:r w:rsidRPr="008E5B0B">
              <w:rPr>
                <w:rFonts w:ascii="Arial" w:hAnsi="Arial" w:cs="Arial"/>
                <w:lang w:val="en-AU"/>
              </w:rPr>
              <w:t>Wearing hand protection is recommended.</w:t>
            </w:r>
          </w:p>
          <w:p w:rsidRPr="008E5B0B" w:rsidR="00154B74" w:rsidP="00154B74" w:rsidRDefault="00154B74">
            <w:pPr>
              <w:snapToGrid w:val="false"/>
              <w:spacing w:after="120" w:lineRule="auto"/>
              <w:rPr>
                <w:rFonts w:ascii="Arial" w:hAnsi="Arial" w:cs="Arial"/>
                <w:lang w:val="en-AU"/>
              </w:rPr>
            </w:pPr>
            <w:r w:rsidRPr="008E5B0B">
              <w:rPr>
                <w:rFonts w:ascii="Arial" w:hAnsi="Arial" w:cs="Arial"/>
                <w:lang w:val="en-AU"/>
              </w:rPr>
              <w:t>For removing or replacing a wheel or a tire assembly, using mechanical aids is recommended.</w:t>
            </w:r>
          </w:p>
          <w:p w:rsidRPr="008E5B0B" w:rsidR="00154B74" w:rsidP="00154B74"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Wearing Type 1 footwear is recommended.</w:t>
            </w:r>
          </w:p>
        </w:tc>
        <w:tc>
          <w:tcPr>
            <w:tcW w:w="810" w:type="dxa"/>
            <w:shd w:val="clear" w:color="auto" w:fill="auto" w:themeFillTint="33"/>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lastRenderedPageBreak/>
              <w:t>1L</w:t>
            </w:r>
          </w:p>
        </w:tc>
        <w:tc>
          <w:tcPr>
            <w:tcW w:w="1703" w:type="dxa"/>
            <w:shd w:val="clear" w:color="auto" w:fill="auto" w:themeFillTint="33"/>
          </w:tcPr>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13. Operation</w:t>
            </w:r>
          </w:p>
        </w:tc>
        <w:tc>
          <w:tcPr>
            <w:tcW w:w="2880" w:type="dxa"/>
            <w:shd w:val="clear" w:color="auto" w:fill="DEEAF6"/>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Buried services</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Overturning</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Moving machinery, crush injury</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Overstressing of parts</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Dust, falling objects, noise</w:t>
            </w:r>
          </w:p>
        </w:tc>
        <w:tc>
          <w:tcPr>
            <w:tcW w:w="990" w:type="dxa"/>
            <w:shd w:val="clear" w:color="auto" w:fill="DEEAF6"/>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t>3H</w:t>
            </w:r>
          </w:p>
        </w:tc>
        <w:tc>
          <w:tcPr>
            <w:tcW w:w="5850" w:type="dxa"/>
            <w:shd w:val="clear" w:color="auto" w:fill="DEEAF6"/>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Before commencing to dig, make sure all underground services are located and identified.</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Before commencing digging, make sure outriggers are extended and in contact with firm surface.</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Be careful when using outriggers that they do not cause trenches to collapse.</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With booms extended, do not let swinging of loaded bucket.</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During excavations, prevent people from entering the swing area of boom and bucket.</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Before swinging, make sure all persons are in the clear.</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lastRenderedPageBreak/>
              <w:t>Persons working in areas where traffic is a hazard or where there is machinery in operation must wear high-visibility garments.</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Bucket must not be loaded beyond the working load limit.</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When excavating tight material such as shale or rock, avoid stressing of parts.</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During operations, several hazards may be encountered; use appropriate protective equipment.</w:t>
            </w:r>
          </w:p>
          <w:p w:rsidRPr="008E5B0B" w:rsidR="00154B74" w:rsidP="00154B74" w:rsidRDefault="00154B74">
            <w:pPr>
              <w:snapToGrid w:val="false"/>
              <w:spacing w:after="120" w:lineRule="auto"/>
              <w:rPr>
                <w:rFonts w:ascii="Arial" w:hAnsi="Arial" w:cs="Arial"/>
                <w:lang w:val="en-AU"/>
              </w:rPr>
            </w:pPr>
            <w:r w:rsidRPr="008E5B0B">
              <w:rPr>
                <w:rFonts w:ascii="Arial" w:hAnsi="Arial" w:cs="Arial"/>
                <w:lang w:val="en-AU"/>
              </w:rPr>
              <w:t>If unsure of the actual location, have a representative on site.</w:t>
            </w:r>
          </w:p>
          <w:p w:rsidRPr="008E5B0B" w:rsidR="00154B74" w:rsidP="00154B74" w:rsidRDefault="00154B74">
            <w:pPr>
              <w:snapToGrid w:val="false"/>
              <w:spacing w:after="120" w:lineRule="auto"/>
              <w:rPr>
                <w:rFonts w:ascii="Arial" w:hAnsi="Arial" w:cs="Arial"/>
                <w:lang w:val="en-AU"/>
              </w:rPr>
            </w:pPr>
            <w:r w:rsidRPr="008E5B0B">
              <w:rPr>
                <w:rFonts w:ascii="Arial" w:hAnsi="Arial" w:cs="Arial"/>
                <w:lang w:val="en-AU"/>
              </w:rPr>
              <w:t>If ground surface is uneven or is unable to support the weight of machine, use packing for stabilization.</w:t>
            </w:r>
          </w:p>
          <w:p w:rsidRPr="008E5B0B" w:rsidR="00154B74" w:rsidP="00154B74" w:rsidRDefault="00154B74">
            <w:pPr>
              <w:snapToGrid w:val="false"/>
              <w:spacing w:after="120" w:lineRule="auto"/>
              <w:rPr>
                <w:rFonts w:ascii="Arial" w:hAnsi="Arial" w:cs="Arial"/>
                <w:lang w:val="en-AU"/>
              </w:rPr>
            </w:pPr>
            <w:r w:rsidRPr="008E5B0B">
              <w:rPr>
                <w:rFonts w:ascii="Arial" w:hAnsi="Arial" w:cs="Arial"/>
                <w:lang w:val="en-AU"/>
              </w:rPr>
              <w:t>When swinging preferably keep load close to the machine.</w:t>
            </w:r>
          </w:p>
          <w:p w:rsidRPr="008E5B0B" w:rsidR="00154B74" w:rsidP="00154B74" w:rsidRDefault="00154B74">
            <w:pPr>
              <w:snapToGrid w:val="false"/>
              <w:spacing w:after="120" w:lineRule="auto"/>
              <w:rPr>
                <w:rFonts w:ascii="Arial" w:hAnsi="Arial" w:cs="Arial"/>
                <w:lang w:val="en-AU"/>
              </w:rPr>
            </w:pPr>
            <w:r w:rsidRPr="008E5B0B">
              <w:rPr>
                <w:rFonts w:ascii="Arial" w:hAnsi="Arial" w:cs="Arial"/>
                <w:lang w:val="en-AU"/>
              </w:rPr>
              <w:t>Wearing high-visibility garments is recommended.</w:t>
            </w:r>
          </w:p>
          <w:p w:rsidRPr="008E5B0B" w:rsidR="00154B74" w:rsidP="00154B74" w:rsidRDefault="00154B74">
            <w:pPr>
              <w:snapToGrid w:val="false"/>
              <w:spacing w:after="120" w:lineRule="auto"/>
              <w:rPr>
                <w:rFonts w:ascii="Arial" w:hAnsi="Arial" w:cs="Arial"/>
                <w:lang w:val="en-AU"/>
              </w:rPr>
            </w:pPr>
            <w:r w:rsidRPr="008E5B0B">
              <w:rPr>
                <w:rFonts w:ascii="Arial" w:hAnsi="Arial" w:cs="Arial"/>
                <w:lang w:val="en-AU"/>
              </w:rPr>
              <w:t>NOTE: Per unit, wet material weighs more than dry material.</w:t>
            </w:r>
          </w:p>
          <w:p w:rsidRPr="008E5B0B" w:rsidR="00154B74" w:rsidP="00154B74"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Wearing eye, head, hearing and foot protection is recommended.</w:t>
            </w:r>
          </w:p>
        </w:tc>
        <w:tc>
          <w:tcPr>
            <w:tcW w:w="810" w:type="dxa"/>
            <w:shd w:val="clear" w:color="auto" w:fill="DEEAF6"/>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lastRenderedPageBreak/>
              <w:t>2M</w:t>
            </w:r>
          </w:p>
        </w:tc>
        <w:tc>
          <w:tcPr>
            <w:tcW w:w="1703" w:type="dxa"/>
            <w:shd w:val="clear" w:color="auto" w:fill="DEEAF6"/>
          </w:tcPr>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14. Repairs, etc., to buckets</w:t>
            </w:r>
          </w:p>
        </w:tc>
        <w:tc>
          <w:tcPr>
            <w:tcW w:w="2880" w:type="dxa"/>
            <w:shd w:val="clear" w:color="auto" w:fill="auto" w:themeFillTint="33"/>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Replacement of teeth</w:t>
            </w:r>
          </w:p>
        </w:tc>
        <w:tc>
          <w:tcPr>
            <w:tcW w:w="990" w:type="dxa"/>
            <w:shd w:val="clear" w:color="auto" w:fill="auto" w:themeFillTint="33"/>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t>2M</w:t>
            </w:r>
          </w:p>
        </w:tc>
        <w:tc>
          <w:tcPr>
            <w:tcW w:w="5850" w:type="dxa"/>
            <w:shd w:val="clear" w:color="auto" w:fill="auto" w:themeFillTint="33"/>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Before carrying out work, place bucket on level, stable and firm surface.</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Before replacing teeth on bucket attached to excavator, make sure the engine is switched off and hydraulic pressure is relieved.</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All excess mud and soil must be cleaned from the bucket before replacing teeth.</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Make sure the replacement teeth are compatible with the bucket in use.</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Inspect the hand tools and make sure they are in good condition, before proceeding to remove worn teeth.</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Before commencing digging, ensure the replacement teeth are locked in place firmly.</w:t>
            </w:r>
          </w:p>
          <w:p w:rsidRPr="008E5B0B" w:rsidR="00154B74" w:rsidP="00154B74" w:rsidRDefault="00154B74">
            <w:pPr>
              <w:snapToGrid w:val="false"/>
              <w:spacing w:after="120" w:lineRule="auto"/>
              <w:rPr>
                <w:rFonts w:ascii="Arial" w:hAnsi="Arial" w:cs="Arial"/>
                <w:lang w:val="en-AU"/>
              </w:rPr>
            </w:pPr>
            <w:r w:rsidRPr="008E5B0B">
              <w:rPr>
                <w:rFonts w:ascii="Arial" w:hAnsi="Arial" w:cs="Arial"/>
                <w:lang w:val="en-AU"/>
              </w:rPr>
              <w:t>Make sure the bucket is stable and will not fall during work.</w:t>
            </w:r>
          </w:p>
          <w:p w:rsidRPr="008E5B0B" w:rsidR="00154B74" w:rsidP="00154B74" w:rsidRDefault="00154B74">
            <w:pPr>
              <w:snapToGrid w:val="false"/>
              <w:spacing w:after="120" w:lineRule="auto"/>
              <w:rPr>
                <w:rFonts w:ascii="Arial" w:hAnsi="Arial" w:cs="Arial"/>
                <w:lang w:val="en-AU"/>
              </w:rPr>
            </w:pPr>
            <w:r w:rsidRPr="008E5B0B">
              <w:rPr>
                <w:rFonts w:ascii="Arial" w:hAnsi="Arial" w:cs="Arial"/>
                <w:lang w:val="en-AU"/>
              </w:rPr>
              <w:t>When using compressed air for washing, wearing eye protection is recommended.</w:t>
            </w:r>
          </w:p>
          <w:p w:rsidRPr="008E5B0B" w:rsidR="00154B74" w:rsidP="00154B74"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Wearing eye protection is recommended when using hand tools such as cold chisels, hammers, etc.</w:t>
            </w:r>
          </w:p>
        </w:tc>
        <w:tc>
          <w:tcPr>
            <w:tcW w:w="810" w:type="dxa"/>
            <w:shd w:val="clear" w:color="auto" w:fill="auto" w:themeFillTint="33"/>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t>1L</w:t>
            </w:r>
          </w:p>
        </w:tc>
        <w:tc>
          <w:tcPr>
            <w:tcW w:w="1703" w:type="dxa"/>
            <w:shd w:val="clear" w:color="auto" w:fill="auto" w:themeFillTint="33"/>
          </w:tcPr>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15. Transport of buckets</w:t>
            </w:r>
          </w:p>
        </w:tc>
        <w:tc>
          <w:tcPr>
            <w:tcW w:w="2880" w:type="dxa"/>
            <w:shd w:val="clear" w:color="auto" w:fill="DEEAF6"/>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Moving objects</w:t>
            </w:r>
          </w:p>
        </w:tc>
        <w:tc>
          <w:tcPr>
            <w:tcW w:w="990" w:type="dxa"/>
            <w:shd w:val="clear" w:color="auto" w:fill="DEEAF6"/>
          </w:tcPr>
          <w:p w:rsidRPr="008E5B0B" w:rsidR="00154B74" w:rsidP="00DD62C5" w:rsidRDefault="00154B74">
            <w:pPr>
              <w:snapToGrid w:val="false"/>
              <w:spacing w:after="120" w:lineRule="auto"/>
              <w:rPr>
                <w:rFonts w:ascii="Arial" w:hAnsi="Arial" w:cs="Arial"/>
                <w:b/>
                <w:lang w:val="en-AU"/>
              </w:rPr>
            </w:pPr>
            <w:r w:rsidRPr="008E5B0B">
              <w:rPr>
                <w:rFonts w:ascii="Arial" w:hAnsi="Arial" w:cs="Arial"/>
                <w:b/>
                <w:lang w:val="en-AU"/>
              </w:rPr>
              <w:t>2M</w:t>
            </w:r>
          </w:p>
        </w:tc>
        <w:tc>
          <w:tcPr>
            <w:tcW w:w="5850" w:type="dxa"/>
            <w:shd w:val="clear" w:color="auto" w:fill="DEEAF6"/>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 xml:space="preserve">During transport, make sure buckets are carried such that </w:t>
            </w:r>
            <w:r w:rsidRPr="008E5B0B">
              <w:rPr>
                <w:rFonts w:ascii="Arial" w:hAnsi="Arial" w:cs="Arial"/>
                <w:lang w:val="en-AU"/>
              </w:rPr>
              <w:lastRenderedPageBreak/>
              <w:t>they do not fall or move.</w:t>
            </w:r>
          </w:p>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t>Make sure loosely loaded buckets are strapped down firmly.</w:t>
            </w:r>
          </w:p>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For moving buckets from truck or trailer, use machine to load or unload.</w:t>
            </w:r>
          </w:p>
          <w:p w:rsidRPr="008E5B0B" w:rsidR="00154B74" w:rsidP="00154B74" w:rsidRDefault="00154B74">
            <w:pPr>
              <w:snapToGrid w:val="false"/>
              <w:spacing w:after="120" w:lineRule="auto"/>
              <w:rPr>
                <w:rFonts w:ascii="Arial" w:hAnsi="Arial" w:cs="Arial"/>
                <w:lang w:val="en-AU"/>
              </w:rPr>
            </w:pPr>
            <w:r w:rsidRPr="008E5B0B">
              <w:rPr>
                <w:rFonts w:ascii="Arial" w:hAnsi="Arial" w:cs="Arial"/>
                <w:lang w:val="en-AU"/>
              </w:rPr>
              <w:t>If fitted, carry in raked loader bucket.</w:t>
            </w:r>
          </w:p>
          <w:p w:rsidRPr="008E5B0B" w:rsidR="00154B74" w:rsidP="00154B74" w:rsidRDefault="00154B74">
            <w:pPr>
              <w:widowControl w:val="false"/>
              <w:tabs>
                <w:tab w:val="left" w:pos="709"/>
              </w:tabs>
              <w:suppressAutoHyphens/>
              <w:snapToGrid w:val="false"/>
              <w:spacing w:after="120" w:lineRule="auto"/>
              <w:rPr>
                <w:rFonts w:ascii="Arial" w:hAnsi="Arial" w:cs="Arial"/>
                <w:lang w:val="en-AU"/>
              </w:rPr>
            </w:pPr>
            <w:r w:rsidRPr="008E5B0B">
              <w:rPr>
                <w:rFonts w:ascii="Arial" w:hAnsi="Arial" w:cs="Arial"/>
                <w:lang w:val="en-AU"/>
              </w:rPr>
              <w:t>To prevent movement, carry the buckets upside down.</w:t>
            </w:r>
          </w:p>
        </w:tc>
        <w:tc>
          <w:tcPr>
            <w:tcW w:w="810" w:type="dxa"/>
            <w:shd w:val="clear" w:color="auto" w:fill="DEEAF6"/>
          </w:tcPr>
          <w:p w:rsidRPr="008E5B0B" w:rsidR="00154B74" w:rsidP="00DD62C5" w:rsidRDefault="00154B74">
            <w:pPr>
              <w:snapToGrid w:val="false"/>
              <w:spacing w:after="120" w:lineRule="auto"/>
              <w:rPr>
                <w:rFonts w:ascii="Arial" w:hAnsi="Arial" w:cs="Arial"/>
                <w:lang w:val="en-AU"/>
              </w:rPr>
            </w:pPr>
            <w:r w:rsidRPr="008E5B0B">
              <w:rPr>
                <w:rFonts w:ascii="Arial" w:hAnsi="Arial" w:cs="Arial"/>
                <w:lang w:val="en-AU"/>
              </w:rPr>
              <w:lastRenderedPageBreak/>
              <w:t>1L</w:t>
            </w:r>
          </w:p>
        </w:tc>
        <w:tc>
          <w:tcPr>
            <w:tcW w:w="1703" w:type="dxa"/>
            <w:shd w:val="clear" w:color="auto" w:fill="DEEAF6"/>
          </w:tcPr>
          <w:p w:rsidRPr="008E5B0B" w:rsidR="00154B74" w:rsidP="00DD62C5" w:rsidRDefault="00154B74">
            <w:pPr>
              <w:widowControl w:val="false"/>
              <w:tabs>
                <w:tab w:val="left" w:pos="709"/>
              </w:tabs>
              <w:suppressAutoHyphens/>
              <w:snapToGrid w:val="false"/>
              <w:spacing w:after="120" w:lineRule="auto"/>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auto" w:themeFillTint="33"/>
          </w:tcPr>
          <w:p>
            <w:pPr>
              <w:spacing w:after="0"/>
            </w:pPr>
            <w:r>
              <w:t>16. On Completion</w:t>
            </w:r>
          </w:p>
        </w:tc>
        <w:tc>
          <w:tcPr>
            <w:tcW w:w="1812"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01b870b950ee4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01b870b950ee4694"/>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01b870b950ee4694" /></Relationships>
</file>

<file path=word/_rels/header2.xml.rels>&#65279;<?xml version="1.0" encoding="utf-8"?><Relationships xmlns="http://schemas.openxmlformats.org/package/2006/relationships"><Relationship Type="http://schemas.openxmlformats.org/officeDocument/2006/relationships/image" Target="/media/image.bin" Id="R01b870b950ee4694"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